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様式第４号の２（第５条関係）</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選挙運動用自動車使用証明書（燃料）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次のとおり燃料を使用したものであることを証明します。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color w:val="C00000"/>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99" w:beforeLines="25" w:beforeAutospacing="0" w:after="99" w:afterLines="25" w:afterAutospacing="0" w:line="360" w:lineRule="exact"/>
        <w:jc w:val="center"/>
        <w:rPr>
          <w:rFonts w:hint="eastAsia" w:ascii="ＭＳ 明朝" w:hAnsi="ＭＳ 明朝"/>
          <w:kern w:val="0"/>
        </w:rPr>
      </w:pPr>
      <w:r>
        <w:rPr>
          <w:rFonts w:hint="eastAsia" w:ascii="ＭＳ 明朝" w:hAnsi="ＭＳ 明朝"/>
          <w:kern w:val="0"/>
        </w:rPr>
        <w:t>記</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461"/>
        <w:gridCol w:w="1499"/>
        <w:gridCol w:w="1133"/>
        <w:gridCol w:w="1253"/>
        <w:gridCol w:w="1943"/>
        <w:gridCol w:w="1339"/>
      </w:tblGrid>
      <w:tr>
        <w:trPr/>
        <w:tc>
          <w:tcPr>
            <w:tcW w:w="4050" w:type="dxa"/>
            <w:gridSpan w:val="2"/>
            <w:shd w:val="clear" w:color="auto" w:fill="auto"/>
            <w:vAlign w:val="top"/>
          </w:tcPr>
          <w:p>
            <w:pPr>
              <w:pStyle w:val="0"/>
              <w:autoSpaceDE w:val="0"/>
              <w:autoSpaceDN w:val="0"/>
              <w:adjustRightInd w:val="0"/>
              <w:spacing w:line="360" w:lineRule="exact"/>
              <w:jc w:val="left"/>
              <w:rPr>
                <w:rFonts w:hint="default" w:ascii="ＭＳ 明朝" w:hAnsi="ＭＳ 明朝"/>
                <w:spacing w:val="-6"/>
                <w:kern w:val="0"/>
                <w:sz w:val="21"/>
              </w:rPr>
            </w:pPr>
            <w:r>
              <w:rPr>
                <w:rFonts w:hint="eastAsia" w:ascii="ＭＳ 明朝" w:hAnsi="ＭＳ 明朝"/>
                <w:spacing w:val="-6"/>
                <w:kern w:val="0"/>
                <w:sz w:val="21"/>
              </w:rPr>
              <w:t>燃料供給業者の氏名又は名称及び住所</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spacing w:val="-6"/>
                <w:kern w:val="0"/>
                <w:sz w:val="21"/>
              </w:rPr>
              <w:t>並びに法人にあってはその代表者の氏名</w:t>
            </w:r>
          </w:p>
        </w:tc>
        <w:tc>
          <w:tcPr>
            <w:tcW w:w="5786" w:type="dxa"/>
            <w:gridSpan w:val="4"/>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燃料供給年月日</w:t>
            </w:r>
          </w:p>
        </w:tc>
        <w:tc>
          <w:tcPr>
            <w:tcW w:w="2693" w:type="dxa"/>
            <w:gridSpan w:val="2"/>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燃料の供給を受けた選挙運</w:t>
            </w:r>
            <w:bookmarkStart w:id="0" w:name="_GoBack"/>
            <w:bookmarkEnd w:id="0"/>
            <w:r>
              <w:rPr>
                <w:rFonts w:hint="eastAsia" w:ascii="ＭＳ 明朝" w:hAnsi="ＭＳ 明朝"/>
                <w:kern w:val="0"/>
                <w:sz w:val="21"/>
              </w:rPr>
              <w:t>動用自動車の自動車登録番号又は車両番号</w:t>
            </w:r>
          </w:p>
        </w:tc>
        <w:tc>
          <w:tcPr>
            <w:tcW w:w="1276"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燃料供給量</w:t>
            </w:r>
          </w:p>
        </w:tc>
        <w:tc>
          <w:tcPr>
            <w:tcW w:w="198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燃料供給金額</w:t>
            </w:r>
          </w:p>
        </w:tc>
        <w:tc>
          <w:tcPr>
            <w:tcW w:w="136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rPr>
              <w:t>　</w:t>
            </w:r>
            <w:r>
              <w:rPr>
                <w:rFonts w:hint="eastAsia" w:ascii="ＭＳ 明朝" w:hAnsi="ＭＳ 明朝"/>
                <w:color w:val="000000" w:themeColor="text1"/>
                <w:kern w:val="0"/>
                <w:sz w:val="21"/>
              </w:rPr>
              <w:t>月</w:t>
            </w:r>
            <w:r>
              <w:rPr>
                <w:rFonts w:hint="eastAsia" w:ascii="ＭＳ 明朝" w:hAnsi="ＭＳ 明朝"/>
                <w:color w:val="000000" w:themeColor="text1"/>
                <w:kern w:val="0"/>
              </w:rPr>
              <w:t>　　</w:t>
            </w:r>
            <w:r>
              <w:rPr>
                <w:rFonts w:hint="eastAsia" w:ascii="ＭＳ 明朝" w:hAnsi="ＭＳ 明朝"/>
                <w:color w:val="000000" w:themeColor="text1"/>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restart"/>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rPr>
              <w:t>　</w:t>
            </w:r>
            <w:r>
              <w:rPr>
                <w:rFonts w:hint="eastAsia" w:ascii="ＭＳ 明朝" w:hAnsi="ＭＳ 明朝"/>
                <w:color w:val="000000" w:themeColor="text1"/>
                <w:kern w:val="0"/>
                <w:sz w:val="21"/>
              </w:rPr>
              <w:t>月</w:t>
            </w:r>
            <w:r>
              <w:rPr>
                <w:rFonts w:hint="eastAsia" w:ascii="ＭＳ 明朝" w:hAnsi="ＭＳ 明朝"/>
                <w:color w:val="000000" w:themeColor="text1"/>
                <w:kern w:val="0"/>
              </w:rPr>
              <w:t>　　</w:t>
            </w:r>
            <w:r>
              <w:rPr>
                <w:rFonts w:hint="eastAsia" w:ascii="ＭＳ 明朝" w:hAnsi="ＭＳ 明朝"/>
                <w:color w:val="000000" w:themeColor="text1"/>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rPr>
              <w:t>　</w:t>
            </w:r>
            <w:r>
              <w:rPr>
                <w:rFonts w:hint="eastAsia" w:ascii="ＭＳ 明朝" w:hAnsi="ＭＳ 明朝"/>
                <w:color w:val="000000" w:themeColor="text1"/>
                <w:kern w:val="0"/>
                <w:sz w:val="21"/>
              </w:rPr>
              <w:t>月</w:t>
            </w:r>
            <w:r>
              <w:rPr>
                <w:rFonts w:hint="eastAsia" w:ascii="ＭＳ 明朝" w:hAnsi="ＭＳ 明朝"/>
                <w:color w:val="000000" w:themeColor="text1"/>
                <w:kern w:val="0"/>
              </w:rPr>
              <w:t>　　</w:t>
            </w:r>
            <w:r>
              <w:rPr>
                <w:rFonts w:hint="eastAsia" w:ascii="ＭＳ 明朝" w:hAnsi="ＭＳ 明朝"/>
                <w:color w:val="000000" w:themeColor="text1"/>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ゴシック" w:hAnsi="ＭＳ ゴシック" w:eastAsia="ＭＳ ゴシック"/>
                <w:b w:val="1"/>
                <w:kern w:val="0"/>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rPr>
              <w:t>　</w:t>
            </w:r>
            <w:r>
              <w:rPr>
                <w:rFonts w:hint="eastAsia" w:ascii="ＭＳ 明朝" w:hAnsi="ＭＳ 明朝"/>
                <w:color w:val="000000" w:themeColor="text1"/>
                <w:kern w:val="0"/>
                <w:sz w:val="21"/>
              </w:rPr>
              <w:t>月</w:t>
            </w:r>
            <w:r>
              <w:rPr>
                <w:rFonts w:hint="eastAsia" w:ascii="ＭＳ 明朝" w:hAnsi="ＭＳ 明朝"/>
                <w:color w:val="000000" w:themeColor="text1"/>
                <w:kern w:val="0"/>
              </w:rPr>
              <w:t>　　</w:t>
            </w:r>
            <w:r>
              <w:rPr>
                <w:rFonts w:hint="eastAsia" w:ascii="ＭＳ 明朝" w:hAnsi="ＭＳ 明朝"/>
                <w:color w:val="000000" w:themeColor="text1"/>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ゴシック" w:hAnsi="ＭＳ ゴシック" w:eastAsia="ＭＳ ゴシック"/>
                <w:b w:val="1"/>
                <w:kern w:val="0"/>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454" w:hRule="atLeast"/>
        </w:trPr>
        <w:tc>
          <w:tcPr>
            <w:tcW w:w="2518"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令和８年</w:t>
            </w:r>
            <w:r>
              <w:rPr>
                <w:rFonts w:hint="eastAsia" w:ascii="ＭＳ 明朝" w:hAnsi="ＭＳ 明朝"/>
                <w:color w:val="000000" w:themeColor="text1"/>
                <w:kern w:val="0"/>
              </w:rPr>
              <w:t>　</w:t>
            </w:r>
            <w:r>
              <w:rPr>
                <w:rFonts w:hint="eastAsia" w:ascii="ＭＳ 明朝" w:hAnsi="ＭＳ 明朝"/>
                <w:color w:val="000000" w:themeColor="text1"/>
                <w:kern w:val="0"/>
                <w:sz w:val="21"/>
              </w:rPr>
              <w:t>月</w:t>
            </w:r>
            <w:r>
              <w:rPr>
                <w:rFonts w:hint="eastAsia" w:ascii="ＭＳ 明朝" w:hAnsi="ＭＳ 明朝"/>
                <w:color w:val="000000" w:themeColor="text1"/>
                <w:kern w:val="0"/>
              </w:rPr>
              <w:t>　　</w:t>
            </w:r>
            <w:r>
              <w:rPr>
                <w:rFonts w:hint="eastAsia" w:ascii="ＭＳ 明朝" w:hAnsi="ＭＳ 明朝"/>
                <w:color w:val="000000" w:themeColor="text1"/>
                <w:kern w:val="0"/>
                <w:sz w:val="21"/>
              </w:rPr>
              <w:t>日</w:t>
            </w:r>
          </w:p>
        </w:tc>
        <w:tc>
          <w:tcPr>
            <w:tcW w:w="2693" w:type="dxa"/>
            <w:gridSpan w:val="2"/>
            <w:shd w:val="clear" w:color="auto" w:fill="auto"/>
            <w:vAlign w:val="center"/>
          </w:tcPr>
          <w:p>
            <w:pPr>
              <w:pStyle w:val="0"/>
              <w:autoSpaceDE w:val="0"/>
              <w:autoSpaceDN w:val="0"/>
              <w:adjustRightInd w:val="0"/>
              <w:spacing w:line="260" w:lineRule="exact"/>
              <w:jc w:val="left"/>
              <w:rPr>
                <w:rFonts w:hint="eastAsia" w:ascii="ＭＳ ゴシック" w:hAnsi="ＭＳ ゴシック" w:eastAsia="ＭＳ ゴシック"/>
                <w:b w:val="1"/>
                <w:kern w:val="0"/>
                <w:sz w:val="22"/>
              </w:rPr>
            </w:pPr>
          </w:p>
        </w:tc>
        <w:tc>
          <w:tcPr>
            <w:tcW w:w="1276"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　ℓ</w:t>
            </w:r>
          </w:p>
        </w:tc>
        <w:tc>
          <w:tcPr>
            <w:tcW w:w="1985"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364"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使用の実績に基づいて、燃料供給業者ごとに別々に作成し、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以下同じ。）の写しを添えて、候補者から燃料供給業者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「燃料の供給を受けた選挙運動用自動車の自動車登録番号又は車両番号」欄には、契約届出書に記載された選挙運動用自動車の自動車登録番号又は車両番号を記載してください。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「燃料の供給を受けた選挙運動用自動車の自動車登録番号又は車両番号」欄、「燃料供給量」欄及び「燃料供給金額」欄は、燃料の供給を受けた日ごとに記載してください。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燃料供給業者が柴田町に支払を請求するときは、この証明書及び給油伝票の写しを請求書に添付してください。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５　この証明書を発行した候補者について供託物が没収された場合には、燃料供給業者は、柴田町に支払を請求することはできません。</w:t>
      </w:r>
    </w:p>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　６　公費負担の限度額は、候補者から燃料供給業者に提出された確認書に記載された金額までです。</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0</Words>
  <Characters>838</Characters>
  <Application>JUST Note</Application>
  <Lines>163</Lines>
  <Paragraphs>37</Paragraphs>
  <Company>厚生労働省</Company>
  <CharactersWithSpaces>924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2025-01-27T04:23:00Z</dcterms:created>
  <dcterms:modified xsi:type="dcterms:W3CDTF">2026-06-03T08:42:41Z</dcterms:modified>
  <cp:revision>7</cp:revision>
</cp:coreProperties>
</file>